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Игра «Найди ошибку»</w:t>
      </w:r>
    </w:p>
    <w:p w:rsidR="00370180" w:rsidRP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У</w:t>
      </w:r>
      <w:r w:rsidRPr="00370180">
        <w:rPr>
          <w:rFonts w:eastAsia="Times New Roman" w:cs="Times New Roman"/>
          <w:sz w:val="27"/>
          <w:szCs w:val="27"/>
          <w:lang w:eastAsia="ru-RU"/>
        </w:rPr>
        <w:t>читель заранее подготавливает несколько листов с текстом №1 (без ошибок) по изучае</w:t>
      </w:r>
      <w:r w:rsidRPr="00370180">
        <w:rPr>
          <w:rFonts w:eastAsia="Times New Roman" w:cs="Times New Roman"/>
          <w:sz w:val="27"/>
          <w:szCs w:val="27"/>
          <w:lang w:eastAsia="ru-RU"/>
        </w:rPr>
        <w:softHyphen/>
        <w:t>мой теме, а также столько же листов с подоб</w:t>
      </w:r>
      <w:r w:rsidRPr="00370180">
        <w:rPr>
          <w:rFonts w:eastAsia="Times New Roman" w:cs="Times New Roman"/>
          <w:sz w:val="27"/>
          <w:szCs w:val="27"/>
          <w:lang w:eastAsia="ru-RU"/>
        </w:rPr>
        <w:softHyphen/>
        <w:t>ным текстом №2, в котором нарочно сделаны ошибки (примеры текстов помещены ниже). Ребята могут работать с ними как индивидуаль</w:t>
      </w:r>
      <w:r w:rsidRPr="00370180">
        <w:rPr>
          <w:rFonts w:eastAsia="Times New Roman" w:cs="Times New Roman"/>
          <w:sz w:val="27"/>
          <w:szCs w:val="27"/>
          <w:lang w:eastAsia="ru-RU"/>
        </w:rPr>
        <w:softHyphen/>
        <w:t xml:space="preserve">но, так </w:t>
      </w:r>
      <w:proofErr w:type="gramStart"/>
      <w:r w:rsidRPr="00370180">
        <w:rPr>
          <w:rFonts w:eastAsia="Times New Roman" w:cs="Times New Roman"/>
          <w:sz w:val="27"/>
          <w:szCs w:val="27"/>
          <w:lang w:eastAsia="ru-RU"/>
        </w:rPr>
        <w:t>и</w:t>
      </w:r>
      <w:proofErr w:type="gramEnd"/>
      <w:r w:rsidRPr="00370180">
        <w:rPr>
          <w:rFonts w:eastAsia="Times New Roman" w:cs="Times New Roman"/>
          <w:sz w:val="27"/>
          <w:szCs w:val="27"/>
          <w:lang w:eastAsia="ru-RU"/>
        </w:rPr>
        <w:t xml:space="preserve"> разбившись на пары или на группы по 4 человека (2 парты объединяются). Учитель объясняет суть игры: «Ребята, у каждого из Вас (у каждой группы) на парте лежит лист с тек</w:t>
      </w:r>
      <w:r w:rsidRPr="00370180">
        <w:rPr>
          <w:rFonts w:eastAsia="Times New Roman" w:cs="Times New Roman"/>
          <w:sz w:val="27"/>
          <w:szCs w:val="27"/>
          <w:lang w:eastAsia="ru-RU"/>
        </w:rPr>
        <w:softHyphen/>
        <w:t>стом. Вы должны внимательно изучить содер</w:t>
      </w:r>
      <w:r w:rsidRPr="00370180">
        <w:rPr>
          <w:rFonts w:eastAsia="Times New Roman" w:cs="Times New Roman"/>
          <w:sz w:val="27"/>
          <w:szCs w:val="27"/>
          <w:lang w:eastAsia="ru-RU"/>
        </w:rPr>
        <w:softHyphen/>
        <w:t>жание рассказа. На эту работу Вам дается 10 мин. За это время каждый должен внима</w:t>
      </w:r>
      <w:r w:rsidRPr="00370180">
        <w:rPr>
          <w:rFonts w:eastAsia="Times New Roman" w:cs="Times New Roman"/>
          <w:sz w:val="27"/>
          <w:szCs w:val="27"/>
          <w:lang w:eastAsia="ru-RU"/>
        </w:rPr>
        <w:softHyphen/>
        <w:t>тельно ознакомиться с содержанием. По усмот</w:t>
      </w:r>
      <w:r w:rsidRPr="00370180">
        <w:rPr>
          <w:rFonts w:eastAsia="Times New Roman" w:cs="Times New Roman"/>
          <w:sz w:val="27"/>
          <w:szCs w:val="27"/>
          <w:lang w:eastAsia="ru-RU"/>
        </w:rPr>
        <w:softHyphen/>
        <w:t>рению учителя разрешается делать записи в тетради. Ровно через 10 мин. этот текст будет собран, и Вы получите другие листы с похожим текстом. Только в нем будут ошибки, которые Вам надо найти. Победит тот (та группа), кто правильно обнаружит наибольшее количество ошибок. Итак, время пошло.</w:t>
      </w:r>
    </w:p>
    <w:p w:rsidR="00370180" w:rsidRP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0180">
        <w:rPr>
          <w:rFonts w:eastAsia="Times New Roman" w:cs="Times New Roman"/>
          <w:szCs w:val="24"/>
          <w:lang w:eastAsia="ru-RU"/>
        </w:rPr>
        <w:t>Работая с текстом №2 (с ошибками), ребята должны заполнить табличку:</w:t>
      </w:r>
    </w:p>
    <w:p w:rsidR="00370180" w:rsidRP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0180">
        <w:rPr>
          <w:rFonts w:eastAsia="Times New Roman" w:cs="Times New Roman"/>
          <w:szCs w:val="24"/>
          <w:lang w:eastAsia="ru-RU"/>
        </w:rPr>
        <w:t>Ошибка Правильный вариант</w:t>
      </w:r>
    </w:p>
    <w:p w:rsidR="00370180" w:rsidRP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0180">
        <w:rPr>
          <w:rFonts w:eastAsia="Times New Roman" w:cs="Times New Roman"/>
          <w:szCs w:val="24"/>
          <w:lang w:eastAsia="ru-RU"/>
        </w:rPr>
        <w:t>1)</w:t>
      </w:r>
    </w:p>
    <w:p w:rsidR="00370180" w:rsidRP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0180">
        <w:rPr>
          <w:rFonts w:eastAsia="Times New Roman" w:cs="Times New Roman"/>
          <w:szCs w:val="24"/>
          <w:lang w:eastAsia="ru-RU"/>
        </w:rPr>
        <w:t>2)</w:t>
      </w:r>
    </w:p>
    <w:p w:rsidR="00370180" w:rsidRP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70180">
        <w:rPr>
          <w:rFonts w:eastAsia="Times New Roman" w:cs="Times New Roman"/>
          <w:szCs w:val="24"/>
          <w:lang w:eastAsia="ru-RU"/>
        </w:rPr>
        <w:t>Например, в IX классе, по теме «Образова</w:t>
      </w:r>
      <w:r w:rsidRPr="00370180">
        <w:rPr>
          <w:rFonts w:eastAsia="Times New Roman" w:cs="Times New Roman"/>
          <w:szCs w:val="24"/>
          <w:lang w:eastAsia="ru-RU"/>
        </w:rPr>
        <w:softHyphen/>
        <w:t>ние и наука» (§31 учебника:</w:t>
      </w:r>
      <w:proofErr w:type="gramEnd"/>
      <w:r w:rsidRPr="00370180">
        <w:rPr>
          <w:rFonts w:eastAsia="Times New Roman" w:cs="Times New Roman"/>
          <w:szCs w:val="24"/>
          <w:lang w:eastAsia="ru-RU"/>
        </w:rPr>
        <w:t xml:space="preserve"> Зырянов П.Н. Ис</w:t>
      </w:r>
      <w:r w:rsidRPr="00370180">
        <w:rPr>
          <w:rFonts w:eastAsia="Times New Roman" w:cs="Times New Roman"/>
          <w:szCs w:val="24"/>
          <w:lang w:eastAsia="ru-RU"/>
        </w:rPr>
        <w:softHyphen/>
        <w:t xml:space="preserve">тория России. XIX век. М., 1994. </w:t>
      </w:r>
      <w:proofErr w:type="gramStart"/>
      <w:r w:rsidRPr="00370180">
        <w:rPr>
          <w:rFonts w:eastAsia="Times New Roman" w:cs="Times New Roman"/>
          <w:szCs w:val="24"/>
          <w:lang w:eastAsia="ru-RU"/>
        </w:rPr>
        <w:t>С.198-201) по первому вопросу могут быть использованы следующие два текста:</w:t>
      </w:r>
      <w:proofErr w:type="gramEnd"/>
    </w:p>
    <w:p w:rsidR="00370180" w:rsidRP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0180">
        <w:rPr>
          <w:rFonts w:eastAsia="Times New Roman" w:cs="Times New Roman"/>
          <w:szCs w:val="24"/>
          <w:lang w:eastAsia="ru-RU"/>
        </w:rPr>
        <w:t xml:space="preserve">Текст 1 (без ошибок) </w:t>
      </w:r>
      <w:r w:rsidRPr="00370180">
        <w:rPr>
          <w:rFonts w:eastAsia="Times New Roman" w:cs="Times New Roman"/>
          <w:i/>
          <w:iCs/>
          <w:szCs w:val="24"/>
          <w:lang w:eastAsia="ru-RU"/>
        </w:rPr>
        <w:t>Образование в России во второй половине XIX века</w:t>
      </w:r>
    </w:p>
    <w:p w:rsidR="00370180" w:rsidRP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0180">
        <w:rPr>
          <w:rFonts w:eastAsia="Times New Roman" w:cs="Times New Roman"/>
          <w:i/>
          <w:iCs/>
          <w:szCs w:val="24"/>
          <w:lang w:eastAsia="ru-RU"/>
        </w:rPr>
        <w:t>Долгое время в России уровень грамотнос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ти народа был крайне низким, что являлось наследием крепостной эпохи. В некоторых гу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бернских и уездных городах неграмотность достигала 70~80</w:t>
      </w:r>
      <w:proofErr w:type="gramStart"/>
      <w:r w:rsidRPr="00370180">
        <w:rPr>
          <w:rFonts w:eastAsia="Times New Roman" w:cs="Times New Roman"/>
          <w:i/>
          <w:iCs/>
          <w:szCs w:val="24"/>
          <w:lang w:eastAsia="ru-RU"/>
        </w:rPr>
        <w:t>% • В</w:t>
      </w:r>
      <w:proofErr w:type="gramEnd"/>
      <w:r w:rsidRPr="00370180">
        <w:rPr>
          <w:rFonts w:eastAsia="Times New Roman" w:cs="Times New Roman"/>
          <w:i/>
          <w:iCs/>
          <w:szCs w:val="24"/>
          <w:lang w:eastAsia="ru-RU"/>
        </w:rPr>
        <w:t xml:space="preserve"> деревне положение было еще хуже. Развитие рыночных отношений ос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тро поставило вопрос о начальном народном образовании. Помимо государственных школ существовали земские, городские, церковно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приходские и воскресные школы начального образования. Уже к концу 90-х гг. начальное образование в сельской местности охватило несколько миллионов учащихся. Основой сред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него образования стала классическая гимна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зия, в значительной мере оторванная от зап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росов жизни. С 1862 г. появились женские гим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 xml:space="preserve">назии. К. концу XIX в. на территории России существовали 81 </w:t>
      </w:r>
      <w:proofErr w:type="gramStart"/>
      <w:r w:rsidRPr="00370180">
        <w:rPr>
          <w:rFonts w:eastAsia="Times New Roman" w:cs="Times New Roman"/>
          <w:i/>
          <w:iCs/>
          <w:szCs w:val="24"/>
          <w:lang w:eastAsia="ru-RU"/>
        </w:rPr>
        <w:t>мужская</w:t>
      </w:r>
      <w:proofErr w:type="gramEnd"/>
      <w:r w:rsidRPr="00370180">
        <w:rPr>
          <w:rFonts w:eastAsia="Times New Roman" w:cs="Times New Roman"/>
          <w:i/>
          <w:iCs/>
          <w:szCs w:val="24"/>
          <w:lang w:eastAsia="ru-RU"/>
        </w:rPr>
        <w:t xml:space="preserve"> и 64 женских гим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назий. Действовали также неполные гимна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зии, называвшиеся прогимназиями. Прочно вошел в историю печально известный цирку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ляр (особое распоряжение) о «кухаркиных де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тях», ограничивающий поступление в гимна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зии «детей кучеров, прачек, мелких лавочни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ков и т.п.». Наряду с этим существовали ре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альные училища для мальчиков из средних сло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ев населения, где делался упор на изучение физики, химии и новых языков. Продолжился рост высшей школы. Число студентов в уни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верситетах с 1862 г. да сер, 90-х гг. увеличи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лось втрое (в университеты имели право по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 xml:space="preserve">ступать только выпускники гимназий). </w:t>
      </w:r>
      <w:proofErr w:type="gramStart"/>
      <w:r w:rsidRPr="00370180">
        <w:rPr>
          <w:rFonts w:eastAsia="Times New Roman" w:cs="Times New Roman"/>
          <w:i/>
          <w:iCs/>
          <w:szCs w:val="24"/>
          <w:lang w:eastAsia="ru-RU"/>
        </w:rPr>
        <w:t>Го^ раздо</w:t>
      </w:r>
      <w:proofErr w:type="gramEnd"/>
      <w:r w:rsidRPr="00370180">
        <w:rPr>
          <w:rFonts w:eastAsia="Times New Roman" w:cs="Times New Roman"/>
          <w:i/>
          <w:iCs/>
          <w:szCs w:val="24"/>
          <w:lang w:eastAsia="ru-RU"/>
        </w:rPr>
        <w:t xml:space="preserve"> медленнее, чем того требовала жизнь, развивалось высшее техническое образование. В 60-х годах на общественные средства были открыты консерватории в Петербурге и Мос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кве. В отличие от казенных учебных заведе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ний, юноши и девушки обучались здесь совме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стно. В 1878 г. в Петербурге начали действо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вать Высшие женские курсы. По имени пер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 xml:space="preserve">вого директора, историка </w:t>
      </w:r>
      <w:r w:rsidRPr="00370180">
        <w:rPr>
          <w:rFonts w:eastAsia="Times New Roman" w:cs="Times New Roman"/>
          <w:i/>
          <w:iCs/>
          <w:szCs w:val="24"/>
          <w:lang w:eastAsia="ru-RU"/>
        </w:rPr>
        <w:lastRenderedPageBreak/>
        <w:t>К.Н.Бестужева-Рюмина, их стали называть Бестужевскими. Так было положено начало высшему женско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му образованию в России.</w:t>
      </w:r>
    </w:p>
    <w:p w:rsidR="00370180" w:rsidRP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0180">
        <w:rPr>
          <w:rFonts w:eastAsia="Times New Roman" w:cs="Times New Roman"/>
          <w:i/>
          <w:iCs/>
          <w:szCs w:val="24"/>
          <w:lang w:eastAsia="ru-RU"/>
        </w:rPr>
        <w:t>Однако в отношении развития высшего об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разования правительство вело осторожную политику, т.к. высшая школа была на подо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зрении как очаг неистребимой "крамолы".</w:t>
      </w:r>
    </w:p>
    <w:p w:rsidR="00370180" w:rsidRP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0180">
        <w:rPr>
          <w:rFonts w:eastAsia="Times New Roman" w:cs="Times New Roman"/>
          <w:szCs w:val="24"/>
          <w:lang w:eastAsia="ru-RU"/>
        </w:rPr>
        <w:t xml:space="preserve">Текст 2 </w:t>
      </w:r>
      <w:r w:rsidRPr="00370180">
        <w:rPr>
          <w:rFonts w:eastAsia="Times New Roman" w:cs="Times New Roman"/>
          <w:i/>
          <w:iCs/>
          <w:szCs w:val="24"/>
          <w:lang w:eastAsia="ru-RU"/>
        </w:rPr>
        <w:t>(с ошибками). Образование в России во второй половине XIX века</w:t>
      </w:r>
    </w:p>
    <w:p w:rsidR="00370180" w:rsidRPr="00370180" w:rsidRDefault="00370180" w:rsidP="0037018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70180">
        <w:rPr>
          <w:rFonts w:eastAsia="Times New Roman" w:cs="Times New Roman"/>
          <w:i/>
          <w:iCs/>
          <w:szCs w:val="24"/>
          <w:lang w:eastAsia="ru-RU"/>
        </w:rPr>
        <w:t>Долгое время в России уровень грамотно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сти народа был крайне низким, что являлось наследием эпохи реформ. В некоторых гу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бернских и уездных городах неграмотность достигала 100%. В деревне грамотных было больше. Развитие рыночных отношений ос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тро поставило вопрос о начальном народном образовании. Помимо государственных школ существовали земские, городские, церковно-приходские и воскресные школы на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чального образования. Уже к концу 90-х гг. начальное образование в сельской местнос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ти охватило несколько тысяч учащихся. Основой среднего образования стал класси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ческий лицей, в значительной мере оторван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 xml:space="preserve">ный от запросов жизни. С 1862 г. появились женские лицеи. К концу XIX </w:t>
      </w:r>
      <w:proofErr w:type="gramStart"/>
      <w:r w:rsidRPr="00370180">
        <w:rPr>
          <w:rFonts w:eastAsia="Times New Roman" w:cs="Times New Roman"/>
          <w:i/>
          <w:iCs/>
          <w:szCs w:val="24"/>
          <w:lang w:eastAsia="ru-RU"/>
        </w:rPr>
        <w:t>в</w:t>
      </w:r>
      <w:proofErr w:type="gramEnd"/>
      <w:r w:rsidRPr="00370180">
        <w:rPr>
          <w:rFonts w:eastAsia="Times New Roman" w:cs="Times New Roman"/>
          <w:i/>
          <w:iCs/>
          <w:szCs w:val="24"/>
          <w:lang w:eastAsia="ru-RU"/>
        </w:rPr>
        <w:t xml:space="preserve">. </w:t>
      </w:r>
      <w:proofErr w:type="gramStart"/>
      <w:r w:rsidRPr="00370180">
        <w:rPr>
          <w:rFonts w:eastAsia="Times New Roman" w:cs="Times New Roman"/>
          <w:i/>
          <w:iCs/>
          <w:szCs w:val="24"/>
          <w:lang w:eastAsia="ru-RU"/>
        </w:rPr>
        <w:t>на</w:t>
      </w:r>
      <w:proofErr w:type="gramEnd"/>
      <w:r w:rsidRPr="00370180">
        <w:rPr>
          <w:rFonts w:eastAsia="Times New Roman" w:cs="Times New Roman"/>
          <w:i/>
          <w:iCs/>
          <w:szCs w:val="24"/>
          <w:lang w:eastAsia="ru-RU"/>
        </w:rPr>
        <w:t xml:space="preserve"> территории России существовали 81 мужской и 64 женских лицеев. Действовали также не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полные лицеи, называвшиеся полулицеями. Прочно вошел в историю печально извест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ный манифест (особое распоряжение) о «дворничихиных детях», ограничивающий поступление в гимназии «детей кучеров, прачек, мелких лавочников и т.п.». Наряду с этим существовали профессионально-тех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нические училища для мальчиков из высших слоев населения, где делался упор на изуче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ние литературы и древних языков. Продол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жился рост высшей школы. Число студен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тов в университетах с 1862 г. до сер. 90-х гг. увеличилось вдвое (в университеты, имели право поступать только выпускники лице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ев). Гораздо медленнее, чем того требовала жизнь, развивалось высшее техническое об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разование. В 60-х годах на общественные средства были открыты консистории в Пе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тербурге и Москве. Как и в казенных учеб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ных заведениях, юноши и девушки обучались здесь раздельно. В 1878 г. в Москве начали действовать Центральные женские семина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рии. По имени первого директора, декабрис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та К.Н.Бестужева-Рюмина их стали назы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вать Бестужевскими. Так было положено начало высшему женскому образованию в России. При этом в отношении развития высшего образования правительство вело легкомысленную политику, и таким образом высшая школа стала главным очагом неис</w:t>
      </w:r>
      <w:r w:rsidRPr="00370180">
        <w:rPr>
          <w:rFonts w:eastAsia="Times New Roman" w:cs="Times New Roman"/>
          <w:i/>
          <w:iCs/>
          <w:szCs w:val="24"/>
          <w:lang w:eastAsia="ru-RU"/>
        </w:rPr>
        <w:softHyphen/>
        <w:t>требимой «крамолы».</w:t>
      </w:r>
    </w:p>
    <w:p w:rsidR="00854226" w:rsidRDefault="00854226"/>
    <w:sectPr w:rsidR="00854226" w:rsidSect="0085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180"/>
    <w:rsid w:val="00370180"/>
    <w:rsid w:val="00854226"/>
    <w:rsid w:val="00D1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4541</Characters>
  <Application>Microsoft Office Word</Application>
  <DocSecurity>0</DocSecurity>
  <Lines>37</Lines>
  <Paragraphs>10</Paragraphs>
  <ScaleCrop>false</ScaleCrop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2013-03-05T19:12:00Z</dcterms:created>
  <dcterms:modified xsi:type="dcterms:W3CDTF">2013-03-05T19:13:00Z</dcterms:modified>
</cp:coreProperties>
</file>